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164" w:rsidRPr="00E1465F" w:rsidRDefault="00AC3164" w:rsidP="00E1465F">
      <w:pPr>
        <w:autoSpaceDE/>
        <w:autoSpaceDN/>
        <w:adjustRightInd/>
        <w:rPr>
          <w:rFonts w:hAnsi="ＭＳ 明朝"/>
          <w:kern w:val="2"/>
        </w:rPr>
      </w:pPr>
      <w:bookmarkStart w:id="0" w:name="_GoBack"/>
      <w:r w:rsidRPr="00E1465F">
        <w:rPr>
          <w:rFonts w:hAnsi="ＭＳ 明朝" w:hint="eastAsia"/>
          <w:kern w:val="2"/>
        </w:rPr>
        <w:t>様式第</w:t>
      </w:r>
      <w:r w:rsidRPr="00E1465F">
        <w:rPr>
          <w:rFonts w:hAnsi="ＭＳ 明朝"/>
          <w:kern w:val="2"/>
        </w:rPr>
        <w:t>4</w:t>
      </w:r>
      <w:r w:rsidRPr="00E1465F">
        <w:rPr>
          <w:rFonts w:hAnsi="ＭＳ 明朝" w:hint="eastAsia"/>
          <w:kern w:val="2"/>
        </w:rPr>
        <w:t>号</w:t>
      </w:r>
      <w:r w:rsidRPr="00E1465F">
        <w:rPr>
          <w:rFonts w:hAnsi="ＭＳ 明朝"/>
          <w:kern w:val="2"/>
        </w:rPr>
        <w:t>(</w:t>
      </w:r>
      <w:r w:rsidRPr="00E1465F">
        <w:rPr>
          <w:rFonts w:hAnsi="ＭＳ 明朝" w:hint="eastAsia"/>
          <w:kern w:val="2"/>
        </w:rPr>
        <w:t>第</w:t>
      </w:r>
      <w:r w:rsidRPr="00E1465F">
        <w:rPr>
          <w:rFonts w:hAnsi="ＭＳ 明朝"/>
          <w:kern w:val="2"/>
        </w:rPr>
        <w:t>6</w:t>
      </w:r>
      <w:r w:rsidRPr="00E1465F">
        <w:rPr>
          <w:rFonts w:hAnsi="ＭＳ 明朝" w:hint="eastAsia"/>
          <w:kern w:val="2"/>
        </w:rPr>
        <w:t>条関係</w:t>
      </w:r>
      <w:r w:rsidRPr="00E1465F">
        <w:rPr>
          <w:rFonts w:hAnsi="ＭＳ 明朝"/>
          <w:kern w:val="2"/>
        </w:rPr>
        <w:t>)</w:t>
      </w:r>
    </w:p>
    <w:p w:rsidR="00AC3164" w:rsidRDefault="00AC3164">
      <w:pPr>
        <w:overflowPunct w:val="0"/>
        <w:jc w:val="center"/>
        <w:rPr>
          <w:rFonts w:cs="Times New Roman"/>
        </w:rPr>
      </w:pPr>
      <w:r>
        <w:rPr>
          <w:rFonts w:hint="eastAsia"/>
        </w:rPr>
        <w:t>細目別評定点採点表</w:t>
      </w:r>
      <w:bookmarkEnd w:id="0"/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5"/>
        <w:gridCol w:w="7880"/>
      </w:tblGrid>
      <w:tr w:rsidR="00AC3164">
        <w:tblPrEx>
          <w:tblCellMar>
            <w:top w:w="0" w:type="dxa"/>
            <w:bottom w:w="0" w:type="dxa"/>
          </w:tblCellMar>
        </w:tblPrEx>
        <w:tc>
          <w:tcPr>
            <w:tcW w:w="5755" w:type="dxa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>工事名</w:t>
            </w:r>
          </w:p>
        </w:tc>
        <w:tc>
          <w:tcPr>
            <w:tcW w:w="7880" w:type="dxa"/>
          </w:tcPr>
          <w:p w:rsidR="00AC3164" w:rsidRPr="005B554D" w:rsidRDefault="005B554D">
            <w:pPr>
              <w:overflowPunct w:val="0"/>
              <w:jc w:val="right"/>
              <w:rPr>
                <w:rFonts w:cs="Times New Roman"/>
              </w:rPr>
            </w:pPr>
            <w:r w:rsidRPr="005B554D">
              <w:rPr>
                <w:rFonts w:hint="eastAsia"/>
              </w:rPr>
              <w:t xml:space="preserve">工事主管課　</w:t>
            </w:r>
            <w:r w:rsidR="00D556F9">
              <w:rPr>
                <w:rFonts w:hint="eastAsia"/>
              </w:rPr>
              <w:t xml:space="preserve">　　　　</w:t>
            </w:r>
            <w:r w:rsidRPr="005B554D">
              <w:rPr>
                <w:rFonts w:hint="eastAsia"/>
              </w:rPr>
              <w:t xml:space="preserve">　　　課</w:t>
            </w:r>
          </w:p>
        </w:tc>
      </w:tr>
    </w:tbl>
    <w:p w:rsidR="00AC3164" w:rsidRDefault="00AC3164">
      <w:pPr>
        <w:overflowPunct w:val="0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2"/>
        <w:gridCol w:w="2145"/>
        <w:gridCol w:w="2145"/>
        <w:gridCol w:w="2145"/>
        <w:gridCol w:w="2146"/>
        <w:gridCol w:w="1885"/>
        <w:gridCol w:w="1386"/>
      </w:tblGrid>
      <w:tr w:rsidR="00AC3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2" w:type="dxa"/>
            <w:vAlign w:val="center"/>
          </w:tcPr>
          <w:p w:rsidR="00AC3164" w:rsidRDefault="00AC3164">
            <w:pPr>
              <w:overflowPunct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2145" w:type="dxa"/>
            <w:vAlign w:val="center"/>
          </w:tcPr>
          <w:p w:rsidR="00AC3164" w:rsidRDefault="00AC3164">
            <w:pPr>
              <w:overflowPunct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細</w:t>
            </w:r>
            <w:r>
              <w:rPr>
                <w:rFonts w:hint="eastAsia"/>
              </w:rPr>
              <w:t>別</w:t>
            </w:r>
          </w:p>
        </w:tc>
        <w:tc>
          <w:tcPr>
            <w:tcW w:w="2145" w:type="dxa"/>
            <w:vAlign w:val="center"/>
          </w:tcPr>
          <w:p w:rsidR="00AC3164" w:rsidRDefault="00AC3164">
            <w:pPr>
              <w:overflowPunct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①担当監督職員</w:t>
            </w:r>
          </w:p>
        </w:tc>
        <w:tc>
          <w:tcPr>
            <w:tcW w:w="2145" w:type="dxa"/>
            <w:tcBorders>
              <w:bottom w:val="nil"/>
            </w:tcBorders>
            <w:vAlign w:val="center"/>
          </w:tcPr>
          <w:p w:rsidR="00AC3164" w:rsidRDefault="00AC3164">
            <w:pPr>
              <w:overflowPunct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②総括監督職員</w:t>
            </w:r>
          </w:p>
        </w:tc>
        <w:tc>
          <w:tcPr>
            <w:tcW w:w="2146" w:type="dxa"/>
            <w:tcBorders>
              <w:bottom w:val="nil"/>
            </w:tcBorders>
            <w:vAlign w:val="center"/>
          </w:tcPr>
          <w:p w:rsidR="00AC3164" w:rsidRPr="00990C85" w:rsidRDefault="00AC3164">
            <w:pPr>
              <w:overflowPunct w:val="0"/>
              <w:jc w:val="center"/>
              <w:rPr>
                <w:rFonts w:cs="Times New Roman"/>
                <w:sz w:val="20"/>
                <w:szCs w:val="20"/>
              </w:rPr>
            </w:pPr>
            <w:r w:rsidRPr="00990C85">
              <w:rPr>
                <w:rFonts w:hint="eastAsia"/>
                <w:sz w:val="20"/>
                <w:szCs w:val="20"/>
              </w:rPr>
              <w:t>③専任</w:t>
            </w:r>
            <w:r w:rsidR="00990C85" w:rsidRPr="00990C85">
              <w:rPr>
                <w:rFonts w:hint="eastAsia"/>
                <w:sz w:val="20"/>
                <w:szCs w:val="20"/>
              </w:rPr>
              <w:t>・指定</w:t>
            </w:r>
            <w:r w:rsidRPr="00990C85">
              <w:rPr>
                <w:rFonts w:hint="eastAsia"/>
                <w:sz w:val="20"/>
                <w:szCs w:val="20"/>
              </w:rPr>
              <w:t>検査職員</w:t>
            </w:r>
          </w:p>
        </w:tc>
        <w:tc>
          <w:tcPr>
            <w:tcW w:w="1885" w:type="dxa"/>
            <w:tcBorders>
              <w:bottom w:val="nil"/>
            </w:tcBorders>
            <w:vAlign w:val="center"/>
          </w:tcPr>
          <w:p w:rsidR="00AC3164" w:rsidRDefault="00AC3164">
            <w:pPr>
              <w:overflowPunct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細目別評定点</w:t>
            </w:r>
          </w:p>
        </w:tc>
        <w:tc>
          <w:tcPr>
            <w:tcW w:w="1386" w:type="dxa"/>
            <w:vAlign w:val="center"/>
          </w:tcPr>
          <w:p w:rsidR="00AC3164" w:rsidRDefault="00AC3164">
            <w:pPr>
              <w:overflowPunct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得点割合</w:t>
            </w:r>
          </w:p>
        </w:tc>
      </w:tr>
      <w:tr w:rsidR="00AC3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2" w:type="dxa"/>
            <w:vMerge w:val="restart"/>
          </w:tcPr>
          <w:p w:rsidR="00AC3164" w:rsidRDefault="00AC3164">
            <w:pPr>
              <w:overflowPunct w:val="0"/>
              <w:spacing w:before="140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施工体制</w:t>
            </w:r>
          </w:p>
        </w:tc>
        <w:tc>
          <w:tcPr>
            <w:tcW w:w="2145" w:type="dxa"/>
            <w:vAlign w:val="center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>Ⅰ　施工体制一般</w:t>
            </w:r>
          </w:p>
        </w:tc>
        <w:tc>
          <w:tcPr>
            <w:tcW w:w="2145" w:type="dxa"/>
            <w:vAlign w:val="bottom"/>
          </w:tcPr>
          <w:p w:rsidR="00AC3164" w:rsidRDefault="00AC3164">
            <w:pPr>
              <w:overflowPunct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2145" w:type="dxa"/>
            <w:shd w:val="pct15" w:color="auto" w:fill="auto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6" w:type="dxa"/>
            <w:shd w:val="pct15" w:color="auto" w:fill="auto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5" w:type="dxa"/>
            <w:tcBorders>
              <w:tr2bl w:val="single" w:sz="4" w:space="0" w:color="auto"/>
            </w:tcBorders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点</w:t>
            </w:r>
          </w:p>
          <w:p w:rsidR="00AC3164" w:rsidRDefault="00AC3164">
            <w:pPr>
              <w:overflowPunct w:val="0"/>
              <w:jc w:val="right"/>
              <w:rPr>
                <w:rFonts w:ascii="Times New Roman" w:hAnsi="Times New Roman" w:cs="Times New Roman"/>
                <w:lang w:val="fr-CA"/>
              </w:rPr>
            </w:pPr>
            <w:r>
              <w:t>3.2</w:t>
            </w:r>
            <w:r>
              <w:rPr>
                <w:rFonts w:hint="eastAsia"/>
              </w:rPr>
              <w:t>点</w:t>
            </w:r>
          </w:p>
        </w:tc>
        <w:tc>
          <w:tcPr>
            <w:tcW w:w="1386" w:type="dxa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3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2" w:type="dxa"/>
            <w:vMerge/>
          </w:tcPr>
          <w:p w:rsidR="00AC3164" w:rsidRDefault="00AC3164">
            <w:pPr>
              <w:overflowPunct w:val="0"/>
              <w:spacing w:before="140"/>
              <w:rPr>
                <w:rFonts w:cs="Times New Roman"/>
              </w:rPr>
            </w:pPr>
          </w:p>
        </w:tc>
        <w:tc>
          <w:tcPr>
            <w:tcW w:w="2145" w:type="dxa"/>
            <w:vAlign w:val="center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>Ⅱ　配置技術者</w:t>
            </w:r>
          </w:p>
        </w:tc>
        <w:tc>
          <w:tcPr>
            <w:tcW w:w="2145" w:type="dxa"/>
            <w:vAlign w:val="bottom"/>
          </w:tcPr>
          <w:p w:rsidR="00AC3164" w:rsidRDefault="00AC3164">
            <w:pPr>
              <w:overflowPunct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2145" w:type="dxa"/>
            <w:tcBorders>
              <w:bottom w:val="nil"/>
            </w:tcBorders>
            <w:shd w:val="pct15" w:color="auto" w:fill="auto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6" w:type="dxa"/>
            <w:shd w:val="pct15" w:color="auto" w:fill="auto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5" w:type="dxa"/>
            <w:tcBorders>
              <w:tr2bl w:val="single" w:sz="4" w:space="0" w:color="auto"/>
            </w:tcBorders>
          </w:tcPr>
          <w:p w:rsidR="00AC3164" w:rsidRDefault="00AC3164">
            <w:pPr>
              <w:overflowPunct w:val="0"/>
              <w:rPr>
                <w:rFonts w:ascii="Times New Roman" w:hAnsi="Times New Roman" w:cs="Times New Roman"/>
                <w:lang w:val="fr-CA"/>
              </w:rPr>
            </w:pPr>
            <w:r>
              <w:rPr>
                <w:rFonts w:hint="eastAsia"/>
              </w:rPr>
              <w:t xml:space="preserve">　　　点</w:t>
            </w:r>
          </w:p>
          <w:p w:rsidR="00AC3164" w:rsidRDefault="00AC3164">
            <w:pPr>
              <w:overflowPunct w:val="0"/>
              <w:jc w:val="right"/>
              <w:rPr>
                <w:rFonts w:cs="Times New Roman"/>
              </w:rPr>
            </w:pPr>
            <w:r>
              <w:t>3.8</w:t>
            </w:r>
            <w:r>
              <w:rPr>
                <w:rFonts w:hint="eastAsia"/>
              </w:rPr>
              <w:t>点</w:t>
            </w:r>
          </w:p>
        </w:tc>
        <w:tc>
          <w:tcPr>
            <w:tcW w:w="1386" w:type="dxa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3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2" w:type="dxa"/>
            <w:vMerge w:val="restart"/>
          </w:tcPr>
          <w:p w:rsidR="00AC3164" w:rsidRDefault="00AC3164">
            <w:pPr>
              <w:overflowPunct w:val="0"/>
              <w:spacing w:before="140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施工状況</w:t>
            </w:r>
          </w:p>
        </w:tc>
        <w:tc>
          <w:tcPr>
            <w:tcW w:w="2145" w:type="dxa"/>
            <w:vAlign w:val="center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>Ⅰ　施工管理</w:t>
            </w:r>
          </w:p>
        </w:tc>
        <w:tc>
          <w:tcPr>
            <w:tcW w:w="2145" w:type="dxa"/>
            <w:vAlign w:val="bottom"/>
          </w:tcPr>
          <w:p w:rsidR="00AC3164" w:rsidRDefault="00AC3164">
            <w:pPr>
              <w:overflowPunct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2145" w:type="dxa"/>
            <w:shd w:val="pct15" w:color="auto" w:fill="auto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6" w:type="dxa"/>
            <w:tcBorders>
              <w:top w:val="nil"/>
            </w:tcBorders>
            <w:vAlign w:val="bottom"/>
          </w:tcPr>
          <w:p w:rsidR="00AC3164" w:rsidRDefault="00AC3164">
            <w:pPr>
              <w:overflowPunct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1885" w:type="dxa"/>
            <w:tcBorders>
              <w:tr2bl w:val="single" w:sz="4" w:space="0" w:color="auto"/>
            </w:tcBorders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点</w:t>
            </w:r>
          </w:p>
          <w:p w:rsidR="00AC3164" w:rsidRDefault="00AC3164">
            <w:pPr>
              <w:overflowPunct w:val="0"/>
              <w:jc w:val="right"/>
              <w:rPr>
                <w:rFonts w:cs="Times New Roman"/>
              </w:rPr>
            </w:pPr>
            <w:r>
              <w:t>11.7</w:t>
            </w:r>
            <w:r>
              <w:rPr>
                <w:rFonts w:hint="eastAsia"/>
              </w:rPr>
              <w:t>点</w:t>
            </w:r>
          </w:p>
        </w:tc>
        <w:tc>
          <w:tcPr>
            <w:tcW w:w="1386" w:type="dxa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3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2" w:type="dxa"/>
            <w:vMerge/>
          </w:tcPr>
          <w:p w:rsidR="00AC3164" w:rsidRDefault="00AC3164">
            <w:pPr>
              <w:overflowPunct w:val="0"/>
              <w:spacing w:before="140"/>
              <w:rPr>
                <w:rFonts w:cs="Times New Roman"/>
              </w:rPr>
            </w:pPr>
          </w:p>
        </w:tc>
        <w:tc>
          <w:tcPr>
            <w:tcW w:w="2145" w:type="dxa"/>
            <w:vAlign w:val="center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>Ⅱ　工程管理</w:t>
            </w:r>
          </w:p>
        </w:tc>
        <w:tc>
          <w:tcPr>
            <w:tcW w:w="2145" w:type="dxa"/>
            <w:vAlign w:val="bottom"/>
          </w:tcPr>
          <w:p w:rsidR="00AC3164" w:rsidRDefault="00AC3164">
            <w:pPr>
              <w:overflowPunct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2145" w:type="dxa"/>
            <w:vAlign w:val="bottom"/>
          </w:tcPr>
          <w:p w:rsidR="00AC3164" w:rsidRDefault="00AC3164">
            <w:pPr>
              <w:overflowPunct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2146" w:type="dxa"/>
            <w:shd w:val="pct15" w:color="000000" w:fill="FFFFFF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5" w:type="dxa"/>
            <w:tcBorders>
              <w:tr2bl w:val="single" w:sz="4" w:space="0" w:color="auto"/>
            </w:tcBorders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点</w:t>
            </w:r>
          </w:p>
          <w:p w:rsidR="00AC3164" w:rsidRDefault="00AC3164">
            <w:pPr>
              <w:overflowPunct w:val="0"/>
              <w:jc w:val="right"/>
              <w:rPr>
                <w:rFonts w:cs="Times New Roman"/>
              </w:rPr>
            </w:pPr>
            <w:r>
              <w:t>9.3</w:t>
            </w:r>
            <w:r>
              <w:rPr>
                <w:rFonts w:hint="eastAsia"/>
              </w:rPr>
              <w:t>点</w:t>
            </w:r>
          </w:p>
        </w:tc>
        <w:tc>
          <w:tcPr>
            <w:tcW w:w="1386" w:type="dxa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3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2" w:type="dxa"/>
            <w:vMerge/>
          </w:tcPr>
          <w:p w:rsidR="00AC3164" w:rsidRDefault="00AC3164">
            <w:pPr>
              <w:overflowPunct w:val="0"/>
              <w:spacing w:before="140"/>
              <w:rPr>
                <w:rFonts w:cs="Times New Roman"/>
              </w:rPr>
            </w:pPr>
          </w:p>
        </w:tc>
        <w:tc>
          <w:tcPr>
            <w:tcW w:w="2145" w:type="dxa"/>
            <w:vAlign w:val="center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>Ⅲ　安全対策</w:t>
            </w:r>
          </w:p>
        </w:tc>
        <w:tc>
          <w:tcPr>
            <w:tcW w:w="2145" w:type="dxa"/>
            <w:vAlign w:val="bottom"/>
          </w:tcPr>
          <w:p w:rsidR="00AC3164" w:rsidRDefault="00AC3164">
            <w:pPr>
              <w:overflowPunct w:val="0"/>
              <w:jc w:val="right"/>
              <w:rPr>
                <w:rFonts w:ascii="Times New Roman" w:hAnsi="Times New Roman" w:cs="Times New Roman"/>
                <w:lang w:val="fr-CA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2145" w:type="dxa"/>
            <w:tcBorders>
              <w:bottom w:val="nil"/>
            </w:tcBorders>
            <w:vAlign w:val="bottom"/>
          </w:tcPr>
          <w:p w:rsidR="00AC3164" w:rsidRDefault="00AC3164">
            <w:pPr>
              <w:overflowPunct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2146" w:type="dxa"/>
            <w:shd w:val="pct15" w:color="000000" w:fill="FFFFFF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5" w:type="dxa"/>
            <w:tcBorders>
              <w:tr2bl w:val="single" w:sz="4" w:space="0" w:color="auto"/>
            </w:tcBorders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点</w:t>
            </w:r>
          </w:p>
          <w:p w:rsidR="00AC3164" w:rsidRDefault="00AC3164">
            <w:pPr>
              <w:overflowPunct w:val="0"/>
              <w:jc w:val="right"/>
              <w:rPr>
                <w:rFonts w:cs="Times New Roman"/>
              </w:rPr>
            </w:pPr>
            <w:r>
              <w:t>10.7</w:t>
            </w:r>
            <w:r>
              <w:rPr>
                <w:rFonts w:hint="eastAsia"/>
              </w:rPr>
              <w:t>点</w:t>
            </w:r>
          </w:p>
        </w:tc>
        <w:tc>
          <w:tcPr>
            <w:tcW w:w="1386" w:type="dxa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3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2" w:type="dxa"/>
            <w:vMerge/>
          </w:tcPr>
          <w:p w:rsidR="00AC3164" w:rsidRDefault="00AC3164">
            <w:pPr>
              <w:overflowPunct w:val="0"/>
              <w:spacing w:before="140"/>
              <w:rPr>
                <w:rFonts w:cs="Times New Roman"/>
              </w:rPr>
            </w:pPr>
          </w:p>
        </w:tc>
        <w:tc>
          <w:tcPr>
            <w:tcW w:w="2145" w:type="dxa"/>
            <w:vAlign w:val="center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>Ⅳ　対外関係</w:t>
            </w:r>
          </w:p>
        </w:tc>
        <w:tc>
          <w:tcPr>
            <w:tcW w:w="2145" w:type="dxa"/>
            <w:vAlign w:val="bottom"/>
          </w:tcPr>
          <w:p w:rsidR="00AC3164" w:rsidRDefault="00AC3164">
            <w:pPr>
              <w:overflowPunct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2145" w:type="dxa"/>
            <w:shd w:val="pct15" w:color="auto" w:fill="auto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6" w:type="dxa"/>
            <w:shd w:val="pct15" w:color="000000" w:fill="FFFFFF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5" w:type="dxa"/>
            <w:tcBorders>
              <w:tr2bl w:val="single" w:sz="4" w:space="0" w:color="auto"/>
            </w:tcBorders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点</w:t>
            </w:r>
          </w:p>
          <w:p w:rsidR="00AC3164" w:rsidRDefault="00AC3164">
            <w:pPr>
              <w:overflowPunct w:val="0"/>
              <w:jc w:val="right"/>
              <w:rPr>
                <w:rFonts w:cs="Times New Roman"/>
              </w:rPr>
            </w:pPr>
            <w:r>
              <w:t>3.4</w:t>
            </w:r>
            <w:r>
              <w:rPr>
                <w:rFonts w:hint="eastAsia"/>
              </w:rPr>
              <w:t>点</w:t>
            </w:r>
          </w:p>
        </w:tc>
        <w:tc>
          <w:tcPr>
            <w:tcW w:w="1386" w:type="dxa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3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2" w:type="dxa"/>
            <w:vMerge w:val="restart"/>
          </w:tcPr>
          <w:p w:rsidR="00AC3164" w:rsidRDefault="00AC3164">
            <w:pPr>
              <w:overflowPunct w:val="0"/>
              <w:spacing w:before="140"/>
              <w:ind w:left="315" w:hanging="315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出来</w:t>
            </w:r>
            <w:r>
              <w:rPr>
                <w:rFonts w:hint="eastAsia"/>
                <w:spacing w:val="210"/>
              </w:rPr>
              <w:t>形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  <w:spacing w:val="315"/>
              </w:rPr>
              <w:t>び</w:t>
            </w:r>
            <w:r>
              <w:rPr>
                <w:rFonts w:hint="eastAsia"/>
              </w:rPr>
              <w:t>出来ばえ</w:t>
            </w:r>
          </w:p>
        </w:tc>
        <w:tc>
          <w:tcPr>
            <w:tcW w:w="2145" w:type="dxa"/>
            <w:vAlign w:val="center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>Ⅰ　出来形</w:t>
            </w:r>
          </w:p>
        </w:tc>
        <w:tc>
          <w:tcPr>
            <w:tcW w:w="2145" w:type="dxa"/>
            <w:vAlign w:val="bottom"/>
          </w:tcPr>
          <w:p w:rsidR="00AC3164" w:rsidRDefault="00AC3164">
            <w:pPr>
              <w:overflowPunct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2145" w:type="dxa"/>
            <w:shd w:val="pct15" w:color="auto" w:fill="auto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6" w:type="dxa"/>
            <w:vAlign w:val="bottom"/>
          </w:tcPr>
          <w:p w:rsidR="00AC3164" w:rsidRDefault="00AC3164">
            <w:pPr>
              <w:overflowPunct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1885" w:type="dxa"/>
            <w:tcBorders>
              <w:tr2bl w:val="single" w:sz="4" w:space="0" w:color="auto"/>
            </w:tcBorders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点</w:t>
            </w:r>
          </w:p>
          <w:p w:rsidR="00AC3164" w:rsidRDefault="00AC3164">
            <w:pPr>
              <w:overflowPunct w:val="0"/>
              <w:jc w:val="right"/>
              <w:rPr>
                <w:rFonts w:cs="Times New Roman"/>
              </w:rPr>
            </w:pPr>
            <w:r>
              <w:t>13.9</w:t>
            </w:r>
            <w:r>
              <w:rPr>
                <w:rFonts w:hint="eastAsia"/>
              </w:rPr>
              <w:t>点</w:t>
            </w:r>
          </w:p>
        </w:tc>
        <w:tc>
          <w:tcPr>
            <w:tcW w:w="1386" w:type="dxa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3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2" w:type="dxa"/>
            <w:vMerge/>
          </w:tcPr>
          <w:p w:rsidR="00AC3164" w:rsidRDefault="00AC3164">
            <w:pPr>
              <w:overflowPunct w:val="0"/>
              <w:rPr>
                <w:rFonts w:cs="Times New Roman"/>
              </w:rPr>
            </w:pPr>
          </w:p>
        </w:tc>
        <w:tc>
          <w:tcPr>
            <w:tcW w:w="2145" w:type="dxa"/>
            <w:vAlign w:val="center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>Ⅱ　品質</w:t>
            </w:r>
          </w:p>
        </w:tc>
        <w:tc>
          <w:tcPr>
            <w:tcW w:w="2145" w:type="dxa"/>
            <w:tcBorders>
              <w:bottom w:val="nil"/>
            </w:tcBorders>
            <w:vAlign w:val="bottom"/>
          </w:tcPr>
          <w:p w:rsidR="00AC3164" w:rsidRDefault="00AC3164">
            <w:pPr>
              <w:overflowPunct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2145" w:type="dxa"/>
            <w:shd w:val="pct15" w:color="auto" w:fill="auto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6" w:type="dxa"/>
            <w:vAlign w:val="bottom"/>
          </w:tcPr>
          <w:p w:rsidR="00AC3164" w:rsidRDefault="00AC3164">
            <w:pPr>
              <w:overflowPunct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1885" w:type="dxa"/>
            <w:tcBorders>
              <w:tr2bl w:val="single" w:sz="4" w:space="0" w:color="auto"/>
            </w:tcBorders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点</w:t>
            </w:r>
          </w:p>
          <w:p w:rsidR="00AC3164" w:rsidRDefault="00AC3164">
            <w:pPr>
              <w:overflowPunct w:val="0"/>
              <w:jc w:val="right"/>
              <w:rPr>
                <w:rFonts w:cs="Times New Roman"/>
              </w:rPr>
            </w:pPr>
            <w:r>
              <w:t>15.9</w:t>
            </w:r>
            <w:r>
              <w:rPr>
                <w:rFonts w:hint="eastAsia"/>
              </w:rPr>
              <w:t>点</w:t>
            </w:r>
          </w:p>
        </w:tc>
        <w:tc>
          <w:tcPr>
            <w:tcW w:w="1386" w:type="dxa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3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2" w:type="dxa"/>
            <w:vMerge/>
          </w:tcPr>
          <w:p w:rsidR="00AC3164" w:rsidRDefault="00AC3164">
            <w:pPr>
              <w:overflowPunct w:val="0"/>
              <w:rPr>
                <w:rFonts w:cs="Times New Roman"/>
              </w:rPr>
            </w:pPr>
          </w:p>
        </w:tc>
        <w:tc>
          <w:tcPr>
            <w:tcW w:w="2145" w:type="dxa"/>
            <w:vAlign w:val="center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>Ⅲ　出来ばえ</w:t>
            </w:r>
          </w:p>
        </w:tc>
        <w:tc>
          <w:tcPr>
            <w:tcW w:w="2145" w:type="dxa"/>
            <w:shd w:val="pct15" w:color="auto" w:fill="auto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5" w:type="dxa"/>
            <w:shd w:val="pct15" w:color="auto" w:fill="auto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6" w:type="dxa"/>
            <w:tcBorders>
              <w:bottom w:val="nil"/>
            </w:tcBorders>
            <w:vAlign w:val="bottom"/>
          </w:tcPr>
          <w:p w:rsidR="00AC3164" w:rsidRDefault="00AC3164">
            <w:pPr>
              <w:overflowPunct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1885" w:type="dxa"/>
            <w:tcBorders>
              <w:tr2bl w:val="single" w:sz="4" w:space="0" w:color="auto"/>
            </w:tcBorders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点</w:t>
            </w:r>
          </w:p>
          <w:p w:rsidR="00AC3164" w:rsidRDefault="00AC3164">
            <w:pPr>
              <w:overflowPunct w:val="0"/>
              <w:jc w:val="right"/>
              <w:rPr>
                <w:rFonts w:cs="Times New Roman"/>
              </w:rPr>
            </w:pPr>
            <w:r>
              <w:t>8.5</w:t>
            </w:r>
            <w:r>
              <w:rPr>
                <w:rFonts w:hint="eastAsia"/>
              </w:rPr>
              <w:t>点</w:t>
            </w:r>
          </w:p>
        </w:tc>
        <w:tc>
          <w:tcPr>
            <w:tcW w:w="1386" w:type="dxa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3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2" w:type="dxa"/>
            <w:vAlign w:val="center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工事特性</w:t>
            </w:r>
          </w:p>
        </w:tc>
        <w:tc>
          <w:tcPr>
            <w:tcW w:w="2145" w:type="dxa"/>
            <w:vAlign w:val="center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>Ⅰ　工事特性</w:t>
            </w:r>
          </w:p>
        </w:tc>
        <w:tc>
          <w:tcPr>
            <w:tcW w:w="2145" w:type="dxa"/>
            <w:vAlign w:val="bottom"/>
          </w:tcPr>
          <w:p w:rsidR="00AC3164" w:rsidRDefault="00AC3164">
            <w:pPr>
              <w:overflowPunct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2145" w:type="dxa"/>
            <w:shd w:val="pct15" w:color="auto" w:fill="auto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6" w:type="dxa"/>
            <w:shd w:val="pct15" w:color="auto" w:fill="auto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5" w:type="dxa"/>
            <w:tcBorders>
              <w:tr2bl w:val="single" w:sz="4" w:space="0" w:color="auto"/>
            </w:tcBorders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点</w:t>
            </w:r>
          </w:p>
          <w:p w:rsidR="00AC3164" w:rsidRDefault="00AC3164">
            <w:pPr>
              <w:overflowPunct w:val="0"/>
              <w:jc w:val="right"/>
              <w:rPr>
                <w:rFonts w:cs="Times New Roman"/>
              </w:rPr>
            </w:pPr>
            <w:r>
              <w:t>7.8</w:t>
            </w:r>
            <w:r>
              <w:rPr>
                <w:rFonts w:hint="eastAsia"/>
              </w:rPr>
              <w:t>点</w:t>
            </w:r>
          </w:p>
        </w:tc>
        <w:tc>
          <w:tcPr>
            <w:tcW w:w="1386" w:type="dxa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3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2" w:type="dxa"/>
            <w:vAlign w:val="center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 xml:space="preserve">　創意工夫</w:t>
            </w:r>
          </w:p>
        </w:tc>
        <w:tc>
          <w:tcPr>
            <w:tcW w:w="2145" w:type="dxa"/>
            <w:vAlign w:val="center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>Ⅰ　創意工夫</w:t>
            </w:r>
          </w:p>
        </w:tc>
        <w:tc>
          <w:tcPr>
            <w:tcW w:w="2145" w:type="dxa"/>
            <w:tcBorders>
              <w:bottom w:val="nil"/>
            </w:tcBorders>
            <w:vAlign w:val="bottom"/>
          </w:tcPr>
          <w:p w:rsidR="00AC3164" w:rsidRDefault="00AC3164">
            <w:pPr>
              <w:overflowPunct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2145" w:type="dxa"/>
            <w:shd w:val="pct15" w:color="auto" w:fill="auto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6" w:type="dxa"/>
            <w:shd w:val="pct15" w:color="auto" w:fill="auto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5" w:type="dxa"/>
            <w:tcBorders>
              <w:tr2bl w:val="single" w:sz="4" w:space="0" w:color="auto"/>
            </w:tcBorders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点</w:t>
            </w:r>
          </w:p>
          <w:p w:rsidR="00AC3164" w:rsidRDefault="00AC3164">
            <w:pPr>
              <w:overflowPunct w:val="0"/>
              <w:jc w:val="right"/>
              <w:rPr>
                <w:rFonts w:cs="Times New Roman"/>
              </w:rPr>
            </w:pPr>
            <w:r>
              <w:t>5.4</w:t>
            </w:r>
            <w:r>
              <w:rPr>
                <w:rFonts w:hint="eastAsia"/>
              </w:rPr>
              <w:t>点</w:t>
            </w:r>
          </w:p>
        </w:tc>
        <w:tc>
          <w:tcPr>
            <w:tcW w:w="1386" w:type="dxa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3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2" w:type="dxa"/>
            <w:vAlign w:val="center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t>6</w:t>
            </w:r>
            <w:r>
              <w:rPr>
                <w:rFonts w:hint="eastAsia"/>
              </w:rPr>
              <w:t xml:space="preserve">　社会性等</w:t>
            </w:r>
          </w:p>
        </w:tc>
        <w:tc>
          <w:tcPr>
            <w:tcW w:w="2145" w:type="dxa"/>
            <w:vAlign w:val="center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>Ⅰ　地域への貢献等</w:t>
            </w:r>
          </w:p>
        </w:tc>
        <w:tc>
          <w:tcPr>
            <w:tcW w:w="2145" w:type="dxa"/>
            <w:shd w:val="pct15" w:color="auto" w:fill="auto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5" w:type="dxa"/>
            <w:vAlign w:val="bottom"/>
          </w:tcPr>
          <w:p w:rsidR="00AC3164" w:rsidRDefault="00AC3164">
            <w:pPr>
              <w:overflowPunct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2146" w:type="dxa"/>
            <w:shd w:val="pct15" w:color="auto" w:fill="auto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5" w:type="dxa"/>
            <w:tcBorders>
              <w:tr2bl w:val="single" w:sz="4" w:space="0" w:color="auto"/>
            </w:tcBorders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点</w:t>
            </w:r>
          </w:p>
          <w:p w:rsidR="00AC3164" w:rsidRDefault="00AC3164">
            <w:pPr>
              <w:overflowPunct w:val="0"/>
              <w:jc w:val="right"/>
              <w:rPr>
                <w:rFonts w:cs="Times New Roman"/>
              </w:rPr>
            </w:pPr>
            <w:r>
              <w:t>6.4</w:t>
            </w:r>
            <w:r>
              <w:rPr>
                <w:rFonts w:hint="eastAsia"/>
              </w:rPr>
              <w:t>点</w:t>
            </w:r>
          </w:p>
        </w:tc>
        <w:tc>
          <w:tcPr>
            <w:tcW w:w="1386" w:type="dxa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3164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1582" w:type="dxa"/>
            <w:tcBorders>
              <w:bottom w:val="nil"/>
            </w:tcBorders>
            <w:vAlign w:val="center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t>8</w:t>
            </w:r>
            <w:r>
              <w:rPr>
                <w:rFonts w:hint="eastAsia"/>
              </w:rPr>
              <w:t xml:space="preserve">　法令遵守等</w:t>
            </w:r>
          </w:p>
        </w:tc>
        <w:tc>
          <w:tcPr>
            <w:tcW w:w="2145" w:type="dxa"/>
            <w:tcBorders>
              <w:bottom w:val="nil"/>
            </w:tcBorders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5" w:type="dxa"/>
            <w:shd w:val="pct15" w:color="auto" w:fill="auto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5" w:type="dxa"/>
            <w:tcBorders>
              <w:bottom w:val="nil"/>
            </w:tcBorders>
            <w:vAlign w:val="bottom"/>
          </w:tcPr>
          <w:p w:rsidR="00AC3164" w:rsidRDefault="00AC3164">
            <w:pPr>
              <w:overflowPunct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2146" w:type="dxa"/>
            <w:shd w:val="pct15" w:color="auto" w:fill="auto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5" w:type="dxa"/>
            <w:tcBorders>
              <w:bottom w:val="nil"/>
            </w:tcBorders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tcBorders>
              <w:bottom w:val="nil"/>
            </w:tcBorders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3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63" w:type="dxa"/>
            <w:gridSpan w:val="5"/>
            <w:tcBorders>
              <w:left w:val="nil"/>
              <w:bottom w:val="nil"/>
            </w:tcBorders>
            <w:vAlign w:val="bottom"/>
          </w:tcPr>
          <w:p w:rsidR="00AC3164" w:rsidRDefault="00AC3164">
            <w:pPr>
              <w:overflowPunct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評定点合計</w:t>
            </w:r>
          </w:p>
        </w:tc>
        <w:tc>
          <w:tcPr>
            <w:tcW w:w="1885" w:type="dxa"/>
            <w:tcBorders>
              <w:tr2bl w:val="single" w:sz="4" w:space="0" w:color="auto"/>
            </w:tcBorders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点</w:t>
            </w:r>
          </w:p>
          <w:p w:rsidR="00AC3164" w:rsidRDefault="00AC3164">
            <w:pPr>
              <w:overflowPunct w:val="0"/>
              <w:jc w:val="right"/>
              <w:rPr>
                <w:rFonts w:cs="Times New Roman"/>
              </w:rPr>
            </w:pPr>
            <w:r>
              <w:t>100</w:t>
            </w:r>
            <w:r>
              <w:rPr>
                <w:rFonts w:hint="eastAsia"/>
              </w:rPr>
              <w:t>点</w:t>
            </w:r>
          </w:p>
        </w:tc>
        <w:tc>
          <w:tcPr>
            <w:tcW w:w="1386" w:type="dxa"/>
            <w:tcBorders>
              <w:bottom w:val="nil"/>
              <w:right w:val="nil"/>
            </w:tcBorders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C3164" w:rsidRDefault="00AC3164">
      <w:pPr>
        <w:overflowPunct w:val="0"/>
        <w:rPr>
          <w:rFonts w:cs="Times New Roman"/>
        </w:rPr>
      </w:pPr>
      <w:r>
        <w:rPr>
          <w:rFonts w:hint="eastAsia"/>
        </w:rPr>
        <w:t xml:space="preserve">　　　　　　　　※</w:t>
      </w:r>
      <w:r>
        <w:t>1</w:t>
      </w:r>
      <w:r>
        <w:rPr>
          <w:rFonts w:hint="eastAsia"/>
        </w:rPr>
        <w:t xml:space="preserve">　得点割合は、細目評定点の合計に対する得点の割合を百分率で示す。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74"/>
        <w:gridCol w:w="6062"/>
      </w:tblGrid>
      <w:tr w:rsidR="00AC3164">
        <w:tblPrEx>
          <w:tblCellMar>
            <w:top w:w="0" w:type="dxa"/>
            <w:bottom w:w="0" w:type="dxa"/>
          </w:tblCellMar>
        </w:tblPrEx>
        <w:tc>
          <w:tcPr>
            <w:tcW w:w="7574" w:type="dxa"/>
          </w:tcPr>
          <w:p w:rsidR="00AC3164" w:rsidRDefault="00AC3164">
            <w:pPr>
              <w:overflowPunct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※</w:t>
            </w:r>
            <w:r>
              <w:t>2</w:t>
            </w:r>
            <w:r>
              <w:rPr>
                <w:rFonts w:hint="eastAsia"/>
              </w:rPr>
              <w:t xml:space="preserve">　法令遵守等の評価は、完成検査時に一括入力する。</w:t>
            </w:r>
          </w:p>
        </w:tc>
        <w:tc>
          <w:tcPr>
            <w:tcW w:w="6062" w:type="dxa"/>
          </w:tcPr>
          <w:p w:rsidR="00AC3164" w:rsidRDefault="005B554D" w:rsidP="00035648">
            <w:pPr>
              <w:overflowPunct w:val="0"/>
              <w:jc w:val="right"/>
              <w:rPr>
                <w:rFonts w:cs="Times New Roman"/>
              </w:rPr>
            </w:pPr>
            <w:r w:rsidRPr="005B554D">
              <w:rPr>
                <w:rFonts w:hint="eastAsia"/>
              </w:rPr>
              <w:t>工事主管課　⇒</w:t>
            </w:r>
            <w:r w:rsidR="00035648">
              <w:rPr>
                <w:rFonts w:hint="eastAsia"/>
              </w:rPr>
              <w:t>財政課</w:t>
            </w:r>
            <w:r w:rsidR="00AC3164">
              <w:rPr>
                <w:rFonts w:hint="eastAsia"/>
              </w:rPr>
              <w:t xml:space="preserve">　　</w:t>
            </w:r>
          </w:p>
        </w:tc>
      </w:tr>
    </w:tbl>
    <w:p w:rsidR="00AC3164" w:rsidRDefault="00AC3164" w:rsidP="00BE325F">
      <w:pPr>
        <w:overflowPunct w:val="0"/>
        <w:rPr>
          <w:rFonts w:cs="Times New Roman"/>
        </w:rPr>
      </w:pPr>
    </w:p>
    <w:sectPr w:rsidR="00AC3164">
      <w:pgSz w:w="16840" w:h="11907" w:orient="landscape" w:code="9"/>
      <w:pgMar w:top="737" w:right="1701" w:bottom="73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164" w:rsidRDefault="00AC3164" w:rsidP="00561A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C3164" w:rsidRDefault="00AC3164" w:rsidP="00561A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164" w:rsidRDefault="00AC3164" w:rsidP="00561A8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C3164" w:rsidRDefault="00AC3164" w:rsidP="00561A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64"/>
    <w:rsid w:val="00035648"/>
    <w:rsid w:val="00475117"/>
    <w:rsid w:val="00561A86"/>
    <w:rsid w:val="005B554D"/>
    <w:rsid w:val="008061BD"/>
    <w:rsid w:val="008F65CF"/>
    <w:rsid w:val="00990C85"/>
    <w:rsid w:val="00AC3164"/>
    <w:rsid w:val="00B10ADF"/>
    <w:rsid w:val="00B217AD"/>
    <w:rsid w:val="00B754C5"/>
    <w:rsid w:val="00BE325F"/>
    <w:rsid w:val="00C80623"/>
    <w:rsid w:val="00D556F9"/>
    <w:rsid w:val="00E1465F"/>
    <w:rsid w:val="00F151F2"/>
    <w:rsid w:val="00F8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827048D-B8B7-409C-8276-D9015549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754C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754C5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菅野 慧</cp:lastModifiedBy>
  <cp:revision>2</cp:revision>
  <cp:lastPrinted>2013-05-16T07:09:00Z</cp:lastPrinted>
  <dcterms:created xsi:type="dcterms:W3CDTF">2017-01-13T04:41:00Z</dcterms:created>
  <dcterms:modified xsi:type="dcterms:W3CDTF">2017-01-13T04:41:00Z</dcterms:modified>
</cp:coreProperties>
</file>